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4F5" w:rsidRPr="00150816" w:rsidRDefault="002334F5" w:rsidP="00150816">
      <w:pPr>
        <w:jc w:val="center"/>
        <w:rPr>
          <w:b/>
          <w:sz w:val="28"/>
        </w:rPr>
      </w:pPr>
      <w:r w:rsidRPr="00150816">
        <w:rPr>
          <w:b/>
          <w:sz w:val="28"/>
        </w:rPr>
        <w:t>MANAGEMENTUL SMD  ÎN TIMPUL SARCINII</w:t>
      </w:r>
    </w:p>
    <w:p w:rsidR="002334F5" w:rsidRDefault="002334F5" w:rsidP="002334F5">
      <w:r>
        <w:t>N. Bigiu, Sebestyen Antoanela, T. Iacovache, Valeria Badea, M. Moga</w:t>
      </w:r>
    </w:p>
    <w:p w:rsidR="002334F5" w:rsidRDefault="002334F5" w:rsidP="002334F5">
      <w:r>
        <w:t>Universitatea Transilvania, Brasov</w:t>
      </w:r>
    </w:p>
    <w:p w:rsidR="002334F5" w:rsidRDefault="002334F5" w:rsidP="002334F5"/>
    <w:p w:rsidR="002334F5" w:rsidRDefault="002334F5" w:rsidP="002334F5">
      <w:r>
        <w:t>Introducere.În ultimele decenii incidența malignităților a crescut foarte mult și continuă să crească în rândul femeilor aflate la vârsta fertilă.Aproximativ 0,1% dintre sarcini au neoplazii asociate și reprezintă a doua cauză de deces după evenimentele vasculare.</w:t>
      </w:r>
    </w:p>
    <w:p w:rsidR="002334F5" w:rsidRDefault="002334F5" w:rsidP="002334F5">
      <w:r>
        <w:t>Material și metodă.În vederea identificării progresului științific făcut până în prezent în privința performanței și eficienței managementului intrapartum dar și postpartum a afecțiunilor onco-hematologice cu debut în timpul sarcinii sau preexistente acesteia a fost întreprinsa o revizie a literaturii de specialitate disponibile din mai multe surse. Diagnosticarea afecțiunilor onco-hematologice pe parcursul sarcinii se face cu dificultate în condițiile în care anumite simptome sunt comune, iar posibilitățile de investigare imagistică sunt limitate.Dintre afecțiunile onco-hematologice cele mai frecvente sunt: limfoamele și leucemiile acute, acestea fiind si cuvintele utilizate alaturi de „sarcina” pentru identificarea studiilor din literatura de specialitate.S-au consultat bazele de date PubMed si Google Academic si s-a indetificat un numar de 8 articole.</w:t>
      </w:r>
    </w:p>
    <w:p w:rsidR="002334F5" w:rsidRDefault="002334F5" w:rsidP="002334F5">
      <w:r>
        <w:t>Rezultate si concluzii In urma studiului s-a observat ca cele mai frecvente efecte fetale negative ale chimioterapiei pot fi: moarte fetală; malformații congenitale; neoplazii fetale; tulburări de creștere intrauterină; retard mental. Chimioterapicele liposolubile traversează placenta mult mai ușor astfel ca expunerea la chimioterapice în primul trimestru de sarcină creează riscuri teratogene de 10-25%.</w:t>
      </w:r>
    </w:p>
    <w:p w:rsidR="002334F5" w:rsidRDefault="002334F5" w:rsidP="002334F5">
      <w:r>
        <w:t>Managementul afecțiunilor hemato-oncologice în timpul sarcinii este departe de a fi simplu deoarece terapiile aplicate gravidelor se adaptează ținând cont de modificările fiziologice produse de prezența sarcinii. Majoritatea schemelor terapeutice necesită întreruperea sarcinii dacă tratamentul se inițiază în primul trimestru. Pentru sarcinile aflate în trimestrele al 2-lea sau al 3-lea terapia antineoplazică se temporizează ori se inițiază utilizând variantele terapeutice cele mai puțin agresive.</w:t>
      </w:r>
    </w:p>
    <w:p w:rsidR="002334F5" w:rsidRDefault="002334F5" w:rsidP="002334F5"/>
    <w:p w:rsidR="00C54D78" w:rsidRDefault="002334F5" w:rsidP="002334F5">
      <w:r>
        <w:t>Cuvinte cheie: sarcina, limfom, leucemie</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2334F5"/>
    <w:rsid w:val="00150816"/>
    <w:rsid w:val="00172815"/>
    <w:rsid w:val="00206D8F"/>
    <w:rsid w:val="002334F5"/>
    <w:rsid w:val="002358FA"/>
    <w:rsid w:val="00291FEF"/>
    <w:rsid w:val="0036114D"/>
    <w:rsid w:val="00421ECB"/>
    <w:rsid w:val="0070372B"/>
    <w:rsid w:val="00730855"/>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2016-10-12T09:14:00Z</dcterms:created>
  <dcterms:modified xsi:type="dcterms:W3CDTF">2016-10-12T09:14:00Z</dcterms:modified>
</cp:coreProperties>
</file>